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FB868" w14:textId="77777777" w:rsidR="00044F1D" w:rsidRPr="00744B82" w:rsidRDefault="00000000">
      <w:pPr>
        <w:jc w:val="cente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Casos prácticos de empresas certificadas FSC - Discriminación</w:t>
      </w:r>
    </w:p>
    <w:p w14:paraId="202238B6"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 xml:space="preserve">A continuación se presenta una recopilación de casos e instancias en los que las prácticas de la organización pueden ser discriminatorias. Estos fueron identificados durante varias auditorías en organizaciones certificadas FSC. </w:t>
      </w:r>
    </w:p>
    <w:p w14:paraId="5BE66A2B" w14:textId="77777777" w:rsidR="00044F1D" w:rsidRPr="00744B82" w:rsidRDefault="00044F1D">
      <w:pPr>
        <w:rPr>
          <w:rFonts w:ascii="Arial" w:eastAsia="Arial" w:hAnsi="Arial" w:cs="Arial"/>
          <w:sz w:val="24"/>
          <w:szCs w:val="24"/>
          <w:lang w:val="es-ES_tradnl"/>
        </w:rPr>
      </w:pPr>
    </w:p>
    <w:tbl>
      <w:tblPr>
        <w:tblStyle w:val="a"/>
        <w:tblW w:w="89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95"/>
      </w:tblGrid>
      <w:tr w:rsidR="00044F1D" w:rsidRPr="00744B82" w14:paraId="7E2AB2BF" w14:textId="77777777">
        <w:tc>
          <w:tcPr>
            <w:tcW w:w="8995" w:type="dxa"/>
          </w:tcPr>
          <w:p w14:paraId="3183DB79"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1: Discriminación en la política de empresa</w:t>
            </w:r>
          </w:p>
          <w:p w14:paraId="2A87815B" w14:textId="77777777" w:rsidR="00044F1D" w:rsidRPr="00744B82" w:rsidRDefault="00044F1D">
            <w:pPr>
              <w:rPr>
                <w:rFonts w:ascii="Arial" w:eastAsia="Arial" w:hAnsi="Arial" w:cs="Arial"/>
                <w:b/>
                <w:sz w:val="24"/>
                <w:szCs w:val="24"/>
                <w:lang w:val="es-ES_tradnl"/>
              </w:rPr>
            </w:pPr>
          </w:p>
          <w:p w14:paraId="2B7A5614"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 xml:space="preserve">Durante una auditoría, se confirmó que el contratista tiene la política de no contratar a empleados menores de 18 años. Durante las entrevistas con RRHH y la dirección, se mencionó que esta política era para evitar las complicaciones administrativas al contratar empleados menores de 18 años. </w:t>
            </w:r>
            <w:r w:rsidRPr="00744B82">
              <w:rPr>
                <w:rFonts w:ascii="Arial" w:eastAsia="Arial" w:hAnsi="Arial" w:cs="Arial"/>
                <w:sz w:val="24"/>
                <w:szCs w:val="24"/>
                <w:lang w:val="es-ES_tradnl"/>
              </w:rPr>
              <w:br/>
            </w:r>
          </w:p>
          <w:p w14:paraId="0F4504D3"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La edad mínima para trabajar en el país donde está situada la CH es de 15 años.</w:t>
            </w:r>
          </w:p>
          <w:p w14:paraId="65D6D809" w14:textId="77777777" w:rsidR="00044F1D" w:rsidRPr="00744B82" w:rsidRDefault="00044F1D">
            <w:pPr>
              <w:rPr>
                <w:rFonts w:ascii="Arial" w:eastAsia="Arial" w:hAnsi="Arial" w:cs="Arial"/>
                <w:sz w:val="24"/>
                <w:szCs w:val="24"/>
                <w:lang w:val="es-ES_tradnl"/>
              </w:rPr>
            </w:pPr>
          </w:p>
        </w:tc>
      </w:tr>
    </w:tbl>
    <w:p w14:paraId="471855A7" w14:textId="77777777" w:rsidR="00044F1D" w:rsidRPr="00744B82" w:rsidRDefault="00044F1D">
      <w:pPr>
        <w:rPr>
          <w:rFonts w:ascii="Arial" w:eastAsia="Arial" w:hAnsi="Arial" w:cs="Arial"/>
          <w:sz w:val="24"/>
          <w:szCs w:val="24"/>
          <w:lang w:val="es-ES_tradnl"/>
        </w:rPr>
      </w:pPr>
    </w:p>
    <w:p w14:paraId="0B9AC2B6" w14:textId="77777777" w:rsidR="00044F1D" w:rsidRPr="00744B82" w:rsidRDefault="00044F1D">
      <w:pPr>
        <w:rPr>
          <w:rFonts w:ascii="Arial" w:eastAsia="Arial" w:hAnsi="Arial" w:cs="Arial"/>
          <w:sz w:val="24"/>
          <w:szCs w:val="24"/>
          <w:lang w:val="es-ES_tradnl"/>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044F1D" w:rsidRPr="00744B82" w14:paraId="3B69431D" w14:textId="77777777">
        <w:tc>
          <w:tcPr>
            <w:tcW w:w="9062" w:type="dxa"/>
          </w:tcPr>
          <w:p w14:paraId="4B2C67D4"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2: Discriminación en la contratación</w:t>
            </w:r>
          </w:p>
          <w:p w14:paraId="01981433" w14:textId="77777777" w:rsidR="00044F1D" w:rsidRPr="00744B82" w:rsidRDefault="00044F1D">
            <w:pPr>
              <w:rPr>
                <w:rFonts w:ascii="Arial" w:eastAsia="Arial" w:hAnsi="Arial" w:cs="Arial"/>
                <w:sz w:val="24"/>
                <w:szCs w:val="24"/>
                <w:lang w:val="es-ES_tradnl"/>
              </w:rPr>
            </w:pPr>
          </w:p>
          <w:p w14:paraId="424B9662"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 xml:space="preserve">Durante una auditoría, se revisaron algunos anuncios de empleo y se encontró lo siguiente: </w:t>
            </w:r>
          </w:p>
          <w:p w14:paraId="68D50DBC" w14:textId="77777777" w:rsidR="00044F1D" w:rsidRPr="00744B82"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En las ofertas de empleo para "Trabajo de oficina", "Ventas", "Control de calidad" y "Operario" se especificaba que la edad requerida de los solicitantes oscilaba entre los 25 y los 40 años;</w:t>
            </w:r>
          </w:p>
          <w:p w14:paraId="507CCC53" w14:textId="77777777" w:rsidR="00044F1D" w:rsidRPr="00744B82" w:rsidRDefault="00000000">
            <w:pPr>
              <w:numPr>
                <w:ilvl w:val="0"/>
                <w:numId w:val="1"/>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El anuncio de empleo para "Manipulación de abrasivos" especificaba que la edad requerida de los candidatos era de 30 a 50 años y el sexo deb</w:t>
            </w:r>
            <w:r w:rsidRPr="00744B82">
              <w:rPr>
                <w:rFonts w:ascii="Arial" w:eastAsia="Arial" w:hAnsi="Arial" w:cs="Arial"/>
                <w:sz w:val="24"/>
                <w:szCs w:val="24"/>
                <w:lang w:val="es-ES_tradnl"/>
              </w:rPr>
              <w:t>ía ser</w:t>
            </w:r>
            <w:r w:rsidRPr="00744B82">
              <w:rPr>
                <w:rFonts w:ascii="Arial" w:eastAsia="Arial" w:hAnsi="Arial" w:cs="Arial"/>
                <w:color w:val="000000"/>
                <w:sz w:val="24"/>
                <w:szCs w:val="24"/>
                <w:lang w:val="es-ES_tradnl"/>
              </w:rPr>
              <w:t xml:space="preserve"> masculino. </w:t>
            </w:r>
          </w:p>
          <w:p w14:paraId="5EB75CA0" w14:textId="77777777" w:rsidR="00044F1D" w:rsidRPr="00744B82" w:rsidRDefault="00044F1D">
            <w:pPr>
              <w:rPr>
                <w:rFonts w:ascii="Arial" w:eastAsia="Arial" w:hAnsi="Arial" w:cs="Arial"/>
                <w:sz w:val="24"/>
                <w:szCs w:val="24"/>
                <w:lang w:val="es-ES_tradnl"/>
              </w:rPr>
            </w:pPr>
          </w:p>
        </w:tc>
      </w:tr>
    </w:tbl>
    <w:p w14:paraId="504072F8" w14:textId="77777777" w:rsidR="00044F1D" w:rsidRPr="00744B82" w:rsidRDefault="00044F1D">
      <w:pPr>
        <w:rPr>
          <w:rFonts w:ascii="Arial" w:eastAsia="Arial" w:hAnsi="Arial" w:cs="Arial"/>
          <w:sz w:val="24"/>
          <w:szCs w:val="24"/>
          <w:lang w:val="es-ES_tradnl"/>
        </w:rPr>
      </w:pPr>
    </w:p>
    <w:p w14:paraId="53878037" w14:textId="77777777" w:rsidR="00044F1D" w:rsidRPr="00744B82" w:rsidRDefault="00044F1D">
      <w:pPr>
        <w:rPr>
          <w:rFonts w:ascii="Arial" w:eastAsia="Arial" w:hAnsi="Arial" w:cs="Arial"/>
          <w:sz w:val="24"/>
          <w:szCs w:val="24"/>
          <w:lang w:val="es-ES_tradnl"/>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044F1D" w:rsidRPr="00744B82" w14:paraId="4869C440" w14:textId="77777777">
        <w:tc>
          <w:tcPr>
            <w:tcW w:w="9062" w:type="dxa"/>
          </w:tcPr>
          <w:p w14:paraId="104E9BF2"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3: Discriminación por edad</w:t>
            </w:r>
          </w:p>
          <w:p w14:paraId="32C13DD9" w14:textId="77777777" w:rsidR="00044F1D" w:rsidRPr="00744B82" w:rsidRDefault="00044F1D">
            <w:pPr>
              <w:rPr>
                <w:rFonts w:ascii="Arial" w:eastAsia="Arial" w:hAnsi="Arial" w:cs="Arial"/>
                <w:sz w:val="24"/>
                <w:szCs w:val="24"/>
                <w:lang w:val="es-ES_tradnl"/>
              </w:rPr>
            </w:pPr>
          </w:p>
          <w:p w14:paraId="3A6E8ABE"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 xml:space="preserve">El CH publica anuncios de contratación en la página web local de recursos humanos. En estos anuncios se indican las franjas de edad para cada uno de los puestos de contratación. Por ejemplo, 18-50 años, 18-45 años e incluso 18-36 años (para el personal del departamento de ventas). </w:t>
            </w:r>
          </w:p>
          <w:p w14:paraId="3DCD7DDB" w14:textId="77777777" w:rsidR="00044F1D" w:rsidRPr="00744B82" w:rsidRDefault="00044F1D">
            <w:pPr>
              <w:jc w:val="both"/>
              <w:rPr>
                <w:rFonts w:ascii="Arial" w:eastAsia="Arial" w:hAnsi="Arial" w:cs="Arial"/>
                <w:sz w:val="24"/>
                <w:szCs w:val="24"/>
                <w:lang w:val="es-ES_tradnl"/>
              </w:rPr>
            </w:pPr>
          </w:p>
          <w:p w14:paraId="0F620471"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Los representantes de la dirección de CH confirmaron que, según su política interna de contratación, la edad de los nuevos empleados suele limitarse a los 50 años. También creen que las personas menores de 50 años son más hábiles y están más motivadas para trabajar.</w:t>
            </w:r>
          </w:p>
          <w:p w14:paraId="3E511A46" w14:textId="77777777" w:rsidR="00044F1D" w:rsidRPr="00744B82" w:rsidRDefault="00044F1D">
            <w:pPr>
              <w:rPr>
                <w:rFonts w:ascii="Arial" w:eastAsia="Arial" w:hAnsi="Arial" w:cs="Arial"/>
                <w:sz w:val="24"/>
                <w:szCs w:val="24"/>
                <w:lang w:val="es-ES_tradnl"/>
              </w:rPr>
            </w:pPr>
          </w:p>
        </w:tc>
      </w:tr>
    </w:tbl>
    <w:p w14:paraId="1C9A9668" w14:textId="77777777" w:rsidR="00044F1D" w:rsidRPr="00744B82" w:rsidRDefault="00044F1D">
      <w:pPr>
        <w:rPr>
          <w:rFonts w:ascii="Arial" w:eastAsia="Arial" w:hAnsi="Arial" w:cs="Arial"/>
          <w:sz w:val="24"/>
          <w:szCs w:val="24"/>
          <w:lang w:val="es-ES_tradnl"/>
        </w:rPr>
      </w:pPr>
    </w:p>
    <w:p w14:paraId="7188CE5F" w14:textId="77777777" w:rsidR="00044F1D" w:rsidRPr="00744B82" w:rsidRDefault="00044F1D">
      <w:pPr>
        <w:rPr>
          <w:rFonts w:ascii="Arial" w:eastAsia="Arial" w:hAnsi="Arial" w:cs="Arial"/>
          <w:sz w:val="24"/>
          <w:szCs w:val="24"/>
          <w:lang w:val="es-ES_tradnl"/>
        </w:rPr>
      </w:pPr>
    </w:p>
    <w:p w14:paraId="2862145D" w14:textId="77777777" w:rsidR="00044F1D" w:rsidRPr="00744B82" w:rsidRDefault="00044F1D">
      <w:pPr>
        <w:rPr>
          <w:rFonts w:ascii="Arial" w:eastAsia="Arial" w:hAnsi="Arial" w:cs="Arial"/>
          <w:sz w:val="24"/>
          <w:szCs w:val="24"/>
          <w:lang w:val="es-ES_tradnl"/>
        </w:rPr>
      </w:pPr>
    </w:p>
    <w:p w14:paraId="55B40562" w14:textId="77777777" w:rsidR="00044F1D" w:rsidRPr="00744B82" w:rsidRDefault="00044F1D">
      <w:pPr>
        <w:rPr>
          <w:rFonts w:ascii="Arial" w:eastAsia="Arial" w:hAnsi="Arial" w:cs="Arial"/>
          <w:sz w:val="24"/>
          <w:szCs w:val="24"/>
          <w:lang w:val="es-ES_tradnl"/>
        </w:rPr>
      </w:pPr>
    </w:p>
    <w:p w14:paraId="763F5305" w14:textId="77777777" w:rsidR="00044F1D" w:rsidRPr="00744B82" w:rsidRDefault="00044F1D">
      <w:pPr>
        <w:rPr>
          <w:rFonts w:ascii="Arial" w:eastAsia="Arial" w:hAnsi="Arial" w:cs="Arial"/>
          <w:sz w:val="24"/>
          <w:szCs w:val="24"/>
          <w:lang w:val="es-ES_tradnl"/>
        </w:rPr>
      </w:pPr>
    </w:p>
    <w:tbl>
      <w:tblPr>
        <w:tblStyle w:val="a2"/>
        <w:tblpPr w:leftFromText="180" w:rightFromText="180" w:vertAnchor="page" w:horzAnchor="margin" w:tblpY="45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044F1D" w:rsidRPr="00744B82" w14:paraId="2B7CD5BD" w14:textId="77777777">
        <w:tc>
          <w:tcPr>
            <w:tcW w:w="9062" w:type="dxa"/>
          </w:tcPr>
          <w:p w14:paraId="7660DF86"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4: Discriminación y huelga</w:t>
            </w:r>
          </w:p>
          <w:p w14:paraId="7D6C097E" w14:textId="77777777" w:rsidR="00044F1D" w:rsidRPr="00744B82" w:rsidRDefault="00044F1D">
            <w:pPr>
              <w:rPr>
                <w:rFonts w:ascii="Arial" w:eastAsia="Arial" w:hAnsi="Arial" w:cs="Arial"/>
                <w:sz w:val="24"/>
                <w:szCs w:val="24"/>
                <w:lang w:val="es-ES_tradnl"/>
              </w:rPr>
            </w:pPr>
          </w:p>
          <w:p w14:paraId="34B523AE" w14:textId="77777777" w:rsidR="00044F1D" w:rsidRPr="00744B82" w:rsidRDefault="00000000">
            <w:pPr>
              <w:rPr>
                <w:rFonts w:ascii="Arial" w:eastAsia="Arial" w:hAnsi="Arial" w:cs="Arial"/>
                <w:sz w:val="24"/>
                <w:szCs w:val="24"/>
                <w:lang w:val="es-ES_tradnl"/>
              </w:rPr>
            </w:pPr>
            <w:r w:rsidRPr="00744B82">
              <w:rPr>
                <w:rFonts w:ascii="Arial" w:eastAsia="Arial" w:hAnsi="Arial" w:cs="Arial"/>
                <w:sz w:val="24"/>
                <w:szCs w:val="24"/>
                <w:lang w:val="es-ES_tradnl"/>
              </w:rPr>
              <w:t>En el momento de la fiscalización, los trabajadores del CH acababan de regresar de tres meses de huelga. La huelga se inició a raíz de numerosas cuestiones relativas a las condiciones de trabajo, como se documenta en la nota de huelga.</w:t>
            </w:r>
          </w:p>
          <w:p w14:paraId="24269C42" w14:textId="77777777" w:rsidR="00044F1D" w:rsidRPr="00744B82" w:rsidRDefault="00044F1D">
            <w:pPr>
              <w:rPr>
                <w:rFonts w:ascii="Arial" w:eastAsia="Arial" w:hAnsi="Arial" w:cs="Arial"/>
                <w:sz w:val="24"/>
                <w:szCs w:val="24"/>
                <w:lang w:val="es-ES_tradnl"/>
              </w:rPr>
            </w:pPr>
          </w:p>
          <w:p w14:paraId="784565D7" w14:textId="77777777" w:rsidR="00044F1D" w:rsidRDefault="00000000">
            <w:pPr>
              <w:rPr>
                <w:rFonts w:ascii="Arial" w:eastAsia="Arial" w:hAnsi="Arial" w:cs="Arial"/>
                <w:sz w:val="24"/>
                <w:szCs w:val="24"/>
              </w:rPr>
            </w:pPr>
            <w:r>
              <w:rPr>
                <w:rFonts w:ascii="Arial" w:eastAsia="Arial" w:hAnsi="Arial" w:cs="Arial"/>
                <w:sz w:val="24"/>
                <w:szCs w:val="24"/>
              </w:rPr>
              <w:t xml:space="preserve">Por </w:t>
            </w:r>
            <w:proofErr w:type="spellStart"/>
            <w:r>
              <w:rPr>
                <w:rFonts w:ascii="Arial" w:eastAsia="Arial" w:hAnsi="Arial" w:cs="Arial"/>
                <w:sz w:val="24"/>
                <w:szCs w:val="24"/>
              </w:rPr>
              <w:t>ejemplo</w:t>
            </w:r>
            <w:proofErr w:type="spellEnd"/>
            <w:r>
              <w:rPr>
                <w:rFonts w:ascii="Arial" w:eastAsia="Arial" w:hAnsi="Arial" w:cs="Arial"/>
                <w:sz w:val="24"/>
                <w:szCs w:val="24"/>
              </w:rPr>
              <w:t>:</w:t>
            </w:r>
          </w:p>
          <w:p w14:paraId="1960EF74" w14:textId="77777777" w:rsidR="00044F1D" w:rsidRDefault="00044F1D">
            <w:pPr>
              <w:rPr>
                <w:rFonts w:ascii="Arial" w:eastAsia="Arial" w:hAnsi="Arial" w:cs="Arial"/>
                <w:sz w:val="24"/>
                <w:szCs w:val="24"/>
              </w:rPr>
            </w:pPr>
          </w:p>
          <w:p w14:paraId="36CF02D8" w14:textId="77777777" w:rsidR="00044F1D" w:rsidRPr="00744B82" w:rsidRDefault="00000000">
            <w:pPr>
              <w:numPr>
                <w:ilvl w:val="0"/>
                <w:numId w:val="2"/>
              </w:numPr>
              <w:pBdr>
                <w:top w:val="nil"/>
                <w:left w:val="nil"/>
                <w:bottom w:val="nil"/>
                <w:right w:val="nil"/>
                <w:between w:val="nil"/>
              </w:pBdr>
              <w:spacing w:line="259" w:lineRule="auto"/>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Actitud discriminatoria, racista y xenófoba de los trabajadores extranjeros hacia los trabajadores locales;</w:t>
            </w:r>
          </w:p>
          <w:p w14:paraId="3EACD9CE" w14:textId="77777777" w:rsidR="00044F1D" w:rsidRPr="00744B82" w:rsidRDefault="00000000">
            <w:pPr>
              <w:numPr>
                <w:ilvl w:val="0"/>
                <w:numId w:val="2"/>
              </w:numPr>
              <w:pBdr>
                <w:top w:val="nil"/>
                <w:left w:val="nil"/>
                <w:bottom w:val="nil"/>
                <w:right w:val="nil"/>
                <w:between w:val="nil"/>
              </w:pBdr>
              <w:spacing w:line="259" w:lineRule="auto"/>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Impago de unas 140 horas extraordinarias a los trabajadores, correspondientes a 28 sábados trabajados y no pagados;</w:t>
            </w:r>
          </w:p>
          <w:p w14:paraId="082C9CAA" w14:textId="77777777" w:rsidR="00044F1D" w:rsidRPr="00744B82" w:rsidRDefault="00000000">
            <w:pPr>
              <w:numPr>
                <w:ilvl w:val="0"/>
                <w:numId w:val="2"/>
              </w:numPr>
              <w:pBdr>
                <w:top w:val="nil"/>
                <w:left w:val="nil"/>
                <w:bottom w:val="nil"/>
                <w:right w:val="nil"/>
                <w:between w:val="nil"/>
              </w:pBdr>
              <w:spacing w:line="259" w:lineRule="auto"/>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Trato desigual del personal (discriminación)</w:t>
            </w:r>
          </w:p>
          <w:p w14:paraId="3282DDA8" w14:textId="77777777" w:rsidR="00044F1D" w:rsidRPr="00744B82" w:rsidRDefault="00000000">
            <w:pPr>
              <w:numPr>
                <w:ilvl w:val="0"/>
                <w:numId w:val="2"/>
              </w:numPr>
              <w:pBdr>
                <w:top w:val="nil"/>
                <w:left w:val="nil"/>
                <w:bottom w:val="nil"/>
                <w:right w:val="nil"/>
                <w:between w:val="nil"/>
              </w:pBdr>
              <w:spacing w:line="259" w:lineRule="auto"/>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No suministro de EPI cuando son necesarios</w:t>
            </w:r>
          </w:p>
          <w:p w14:paraId="617E3CD6" w14:textId="77777777" w:rsidR="00044F1D" w:rsidRPr="00744B82" w:rsidRDefault="00000000">
            <w:pPr>
              <w:numPr>
                <w:ilvl w:val="0"/>
                <w:numId w:val="2"/>
              </w:numPr>
              <w:pBdr>
                <w:top w:val="nil"/>
                <w:left w:val="nil"/>
                <w:bottom w:val="nil"/>
                <w:right w:val="nil"/>
                <w:between w:val="nil"/>
              </w:pBdr>
              <w:spacing w:after="160" w:line="259" w:lineRule="auto"/>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El CH no ha abonado al Estado todas las cotizaciones debidas a la Seguridad Social (p. ej., pensión), tal y como exige la ley.</w:t>
            </w:r>
          </w:p>
          <w:p w14:paraId="42F0D088" w14:textId="77777777" w:rsidR="00044F1D" w:rsidRPr="00744B82" w:rsidRDefault="00044F1D">
            <w:pPr>
              <w:rPr>
                <w:rFonts w:ascii="Arial" w:eastAsia="Arial" w:hAnsi="Arial" w:cs="Arial"/>
                <w:sz w:val="24"/>
                <w:szCs w:val="24"/>
                <w:lang w:val="es-ES_tradnl"/>
              </w:rPr>
            </w:pPr>
          </w:p>
        </w:tc>
      </w:tr>
    </w:tbl>
    <w:p w14:paraId="6F206F73" w14:textId="77777777" w:rsidR="00044F1D" w:rsidRPr="00744B82" w:rsidRDefault="00044F1D">
      <w:pPr>
        <w:spacing w:after="0"/>
        <w:rPr>
          <w:rFonts w:ascii="Arial" w:eastAsia="Arial" w:hAnsi="Arial" w:cs="Arial"/>
          <w:b/>
          <w:sz w:val="24"/>
          <w:szCs w:val="24"/>
          <w:u w:val="single"/>
          <w:lang w:val="es-ES_tradnl"/>
        </w:rPr>
      </w:pPr>
    </w:p>
    <w:p w14:paraId="4A608D08" w14:textId="77777777" w:rsidR="00044F1D" w:rsidRPr="00744B82" w:rsidRDefault="00044F1D">
      <w:pPr>
        <w:spacing w:after="0"/>
        <w:rPr>
          <w:rFonts w:ascii="Arial" w:eastAsia="Arial" w:hAnsi="Arial" w:cs="Arial"/>
          <w:b/>
          <w:sz w:val="24"/>
          <w:szCs w:val="24"/>
          <w:u w:val="single"/>
          <w:lang w:val="es-ES_tradnl"/>
        </w:rPr>
      </w:pPr>
    </w:p>
    <w:p w14:paraId="750F484A" w14:textId="77777777" w:rsidR="00044F1D" w:rsidRPr="00744B82" w:rsidRDefault="00044F1D">
      <w:pPr>
        <w:spacing w:after="0"/>
        <w:rPr>
          <w:rFonts w:ascii="Arial" w:eastAsia="Arial" w:hAnsi="Arial" w:cs="Arial"/>
          <w:b/>
          <w:sz w:val="24"/>
          <w:szCs w:val="24"/>
          <w:u w:val="single"/>
          <w:lang w:val="es-ES_tradnl"/>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044F1D" w:rsidRPr="00744B82" w14:paraId="4B7D6901" w14:textId="77777777">
        <w:tc>
          <w:tcPr>
            <w:tcW w:w="9062" w:type="dxa"/>
          </w:tcPr>
          <w:p w14:paraId="66553DA9"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5: Discriminación y trabajo forzoso y obligatorio</w:t>
            </w:r>
          </w:p>
          <w:p w14:paraId="6F2B631E"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 xml:space="preserve">Durante las entrevistas con los trabajadores, se identificaron los siguientes aspectos. </w:t>
            </w:r>
          </w:p>
          <w:p w14:paraId="6E867739" w14:textId="77777777" w:rsidR="00044F1D" w:rsidRPr="00744B82"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Los trabajadores hacen horas extraordinarias obligatorias, de 16.00 a 18.00 horas, todos los días, y si alguien se marcha a casa, se le sanciona, por ejemplo, bajándole el sueldo. El auditor vio muchas sanciones en la oficina de RRHH a personas que no querían trabajar hasta las 6 de la tarde. Por lo tanto, los trabajadores se ven obligados a hacer horas extra.</w:t>
            </w:r>
          </w:p>
          <w:p w14:paraId="3798B354" w14:textId="77777777" w:rsidR="00044F1D" w:rsidRPr="00744B82" w:rsidRDefault="00044F1D">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78246D76" w14:textId="77777777" w:rsidR="00044F1D" w:rsidRPr="00744B82"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 xml:space="preserve">Los trabajadores indicaron que existe bastante discriminación y malos tratos a los trabajadores locales por parte de los trabajadores extranjeros. A menudo, a los trabajadores locales no se les permite moverse libremente por la fábrica ni hacer pausas para ir al baño, y reciben amenazas de los supervisores extranjeros. </w:t>
            </w:r>
          </w:p>
          <w:p w14:paraId="288840CE" w14:textId="77777777" w:rsidR="00044F1D" w:rsidRPr="00744B82" w:rsidRDefault="00044F1D">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0E2AD8E9" w14:textId="77777777" w:rsidR="00044F1D" w:rsidRPr="00744B82" w:rsidRDefault="00000000">
            <w:pPr>
              <w:numPr>
                <w:ilvl w:val="0"/>
                <w:numId w:val="3"/>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Los trabajadores también confirmaron que a veces los supervisores extranjeros acosan sexualmente a las trabajadoras con acciones como "tocarlas en lugares inapropiados" e insultarlas.</w:t>
            </w:r>
          </w:p>
          <w:p w14:paraId="1CD00D5B" w14:textId="77777777" w:rsidR="00044F1D" w:rsidRPr="00744B82" w:rsidRDefault="00044F1D">
            <w:pPr>
              <w:rPr>
                <w:rFonts w:ascii="Arial" w:eastAsia="Arial" w:hAnsi="Arial" w:cs="Arial"/>
                <w:b/>
                <w:sz w:val="24"/>
                <w:szCs w:val="24"/>
                <w:u w:val="single"/>
                <w:lang w:val="es-ES_tradnl"/>
              </w:rPr>
            </w:pPr>
          </w:p>
          <w:p w14:paraId="749D2410" w14:textId="77777777" w:rsidR="00044F1D" w:rsidRPr="00744B82" w:rsidRDefault="00044F1D">
            <w:pPr>
              <w:rPr>
                <w:rFonts w:ascii="Arial" w:eastAsia="Arial" w:hAnsi="Arial" w:cs="Arial"/>
                <w:b/>
                <w:sz w:val="24"/>
                <w:szCs w:val="24"/>
                <w:u w:val="single"/>
                <w:lang w:val="es-ES_tradnl"/>
              </w:rPr>
            </w:pPr>
          </w:p>
        </w:tc>
      </w:tr>
    </w:tbl>
    <w:p w14:paraId="25323A7C" w14:textId="77777777" w:rsidR="00044F1D" w:rsidRPr="00744B82" w:rsidRDefault="00044F1D">
      <w:pPr>
        <w:spacing w:after="0"/>
        <w:rPr>
          <w:rFonts w:ascii="Arial" w:eastAsia="Arial" w:hAnsi="Arial" w:cs="Arial"/>
          <w:b/>
          <w:sz w:val="24"/>
          <w:szCs w:val="24"/>
          <w:u w:val="single"/>
          <w:lang w:val="es-ES_tradnl"/>
        </w:rPr>
      </w:pPr>
    </w:p>
    <w:p w14:paraId="12FA68D6" w14:textId="77777777" w:rsidR="00044F1D" w:rsidRPr="00744B82" w:rsidRDefault="00044F1D">
      <w:pPr>
        <w:spacing w:after="0"/>
        <w:rPr>
          <w:rFonts w:ascii="Arial" w:eastAsia="Arial" w:hAnsi="Arial" w:cs="Arial"/>
          <w:sz w:val="24"/>
          <w:szCs w:val="24"/>
          <w:lang w:val="es-ES_tradnl"/>
        </w:rPr>
      </w:pPr>
    </w:p>
    <w:p w14:paraId="2B949FA7" w14:textId="77777777" w:rsidR="00044F1D" w:rsidRPr="00744B82" w:rsidRDefault="00044F1D">
      <w:pPr>
        <w:spacing w:after="0"/>
        <w:rPr>
          <w:rFonts w:ascii="Arial" w:eastAsia="Arial" w:hAnsi="Arial" w:cs="Arial"/>
          <w:sz w:val="24"/>
          <w:szCs w:val="24"/>
          <w:lang w:val="es-ES_tradnl"/>
        </w:rPr>
      </w:pPr>
    </w:p>
    <w:tbl>
      <w:tblPr>
        <w:tblStyle w:val="a4"/>
        <w:tblW w:w="906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7"/>
      </w:tblGrid>
      <w:tr w:rsidR="00044F1D" w:rsidRPr="00744B82" w14:paraId="6582157C" w14:textId="77777777">
        <w:tc>
          <w:tcPr>
            <w:tcW w:w="9067" w:type="dxa"/>
          </w:tcPr>
          <w:p w14:paraId="7FBD8F33" w14:textId="77777777" w:rsidR="00044F1D" w:rsidRPr="00744B82" w:rsidRDefault="00000000">
            <w:pPr>
              <w:rPr>
                <w:rFonts w:ascii="Arial" w:eastAsia="Arial" w:hAnsi="Arial" w:cs="Arial"/>
                <w:b/>
                <w:sz w:val="24"/>
                <w:szCs w:val="24"/>
                <w:u w:val="single"/>
                <w:lang w:val="es-ES_tradnl"/>
              </w:rPr>
            </w:pPr>
            <w:r w:rsidRPr="00744B82">
              <w:rPr>
                <w:rFonts w:ascii="Arial" w:eastAsia="Arial" w:hAnsi="Arial" w:cs="Arial"/>
                <w:b/>
                <w:sz w:val="24"/>
                <w:szCs w:val="24"/>
                <w:u w:val="single"/>
                <w:lang w:val="es-ES_tradnl"/>
              </w:rPr>
              <w:t>Caso 6: Discriminación y formación</w:t>
            </w:r>
          </w:p>
          <w:p w14:paraId="262B86F3" w14:textId="77777777" w:rsidR="00044F1D" w:rsidRPr="00744B82" w:rsidRDefault="00044F1D">
            <w:pPr>
              <w:rPr>
                <w:rFonts w:ascii="Arial" w:eastAsia="Arial" w:hAnsi="Arial" w:cs="Arial"/>
                <w:sz w:val="24"/>
                <w:szCs w:val="24"/>
                <w:lang w:val="es-ES_tradnl"/>
              </w:rPr>
            </w:pPr>
          </w:p>
          <w:p w14:paraId="6EE4CFA6" w14:textId="77777777" w:rsidR="00044F1D" w:rsidRPr="00744B82" w:rsidRDefault="00000000">
            <w:pPr>
              <w:jc w:val="both"/>
              <w:rPr>
                <w:rFonts w:ascii="Arial" w:eastAsia="Arial" w:hAnsi="Arial" w:cs="Arial"/>
                <w:sz w:val="24"/>
                <w:szCs w:val="24"/>
                <w:lang w:val="es-ES_tradnl"/>
              </w:rPr>
            </w:pPr>
            <w:r w:rsidRPr="00744B82">
              <w:rPr>
                <w:rFonts w:ascii="Arial" w:eastAsia="Arial" w:hAnsi="Arial" w:cs="Arial"/>
                <w:sz w:val="24"/>
                <w:szCs w:val="24"/>
                <w:lang w:val="es-ES_tradnl"/>
              </w:rPr>
              <w:t>Durante una auditoría en un aserradero, se identificaron los siguientes aspectos:</w:t>
            </w:r>
          </w:p>
          <w:p w14:paraId="5AFEF60F" w14:textId="77777777" w:rsidR="00044F1D" w:rsidRPr="00744B82" w:rsidRDefault="00044F1D">
            <w:pPr>
              <w:jc w:val="both"/>
              <w:rPr>
                <w:rFonts w:ascii="Arial" w:eastAsia="Arial" w:hAnsi="Arial" w:cs="Arial"/>
                <w:sz w:val="24"/>
                <w:szCs w:val="24"/>
                <w:lang w:val="es-ES_tradnl"/>
              </w:rPr>
            </w:pPr>
          </w:p>
          <w:p w14:paraId="023286E1" w14:textId="77777777" w:rsidR="00044F1D" w:rsidRPr="00744B82" w:rsidRDefault="00000000">
            <w:pPr>
              <w:numPr>
                <w:ilvl w:val="0"/>
                <w:numId w:val="4"/>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 xml:space="preserve">Todos los trabajos "cualificados/especializados" (trabajo en máquinas) eran realizados por trabajadores varones y todas las trabajadoras (excluido el personal de oficina) se consideraban "no cualificadas/no cualificadas", con salarios más bajos. </w:t>
            </w:r>
          </w:p>
          <w:p w14:paraId="676D08A7" w14:textId="77777777" w:rsidR="00044F1D" w:rsidRPr="00744B82" w:rsidRDefault="00000000">
            <w:pPr>
              <w:numPr>
                <w:ilvl w:val="1"/>
                <w:numId w:val="4"/>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Esto fue confirmado por las trabajadoras durante las entrevistas con los trabajadores, ya que todos los trabajadores "cualificados" eran hombres y se e</w:t>
            </w:r>
            <w:r w:rsidRPr="00744B82">
              <w:rPr>
                <w:rFonts w:ascii="Arial" w:eastAsia="Arial" w:hAnsi="Arial" w:cs="Arial"/>
                <w:sz w:val="24"/>
                <w:szCs w:val="24"/>
                <w:lang w:val="es-ES_tradnl"/>
              </w:rPr>
              <w:t xml:space="preserve">videnció </w:t>
            </w:r>
            <w:r w:rsidRPr="00744B82">
              <w:rPr>
                <w:rFonts w:ascii="Arial" w:eastAsia="Arial" w:hAnsi="Arial" w:cs="Arial"/>
                <w:color w:val="000000"/>
                <w:sz w:val="24"/>
                <w:szCs w:val="24"/>
                <w:lang w:val="es-ES_tradnl"/>
              </w:rPr>
              <w:t>la falta de promoción oportunidades para las mujeres, aunque el nivel de "cualificación" requerido sólo puede alcanzarse mediante la formación en el puesto de trabajo.</w:t>
            </w:r>
          </w:p>
          <w:p w14:paraId="5CF1E13C" w14:textId="77777777" w:rsidR="00044F1D" w:rsidRPr="00744B82" w:rsidRDefault="00044F1D">
            <w:pPr>
              <w:pBdr>
                <w:top w:val="nil"/>
                <w:left w:val="nil"/>
                <w:bottom w:val="nil"/>
                <w:right w:val="nil"/>
                <w:between w:val="nil"/>
              </w:pBdr>
              <w:spacing w:line="259" w:lineRule="auto"/>
              <w:ind w:left="1440"/>
              <w:jc w:val="both"/>
              <w:rPr>
                <w:rFonts w:ascii="Arial" w:eastAsia="Arial" w:hAnsi="Arial" w:cs="Arial"/>
                <w:color w:val="000000"/>
                <w:sz w:val="24"/>
                <w:szCs w:val="24"/>
                <w:lang w:val="es-ES_tradnl"/>
              </w:rPr>
            </w:pPr>
          </w:p>
          <w:p w14:paraId="465AA139" w14:textId="77777777" w:rsidR="00044F1D" w:rsidRPr="00744B82" w:rsidRDefault="00000000">
            <w:pPr>
              <w:numPr>
                <w:ilvl w:val="0"/>
                <w:numId w:val="4"/>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744B82">
              <w:rPr>
                <w:rFonts w:ascii="Arial" w:eastAsia="Arial" w:hAnsi="Arial" w:cs="Arial"/>
                <w:color w:val="000000"/>
                <w:sz w:val="24"/>
                <w:szCs w:val="24"/>
                <w:lang w:val="es-ES_tradnl"/>
              </w:rPr>
              <w:t>Se confirmó que el comité de consulta de los trabajadores (CCT), que debe representar los intereses de los trabajadores, está centrado en los hombres y no representa los intereses de las trabajadoras.</w:t>
            </w:r>
          </w:p>
          <w:p w14:paraId="1DE7ED2A" w14:textId="77777777" w:rsidR="00044F1D" w:rsidRPr="00744B82" w:rsidRDefault="00044F1D">
            <w:pPr>
              <w:rPr>
                <w:rFonts w:ascii="Arial" w:eastAsia="Arial" w:hAnsi="Arial" w:cs="Arial"/>
                <w:sz w:val="24"/>
                <w:szCs w:val="24"/>
                <w:lang w:val="es-ES_tradnl"/>
              </w:rPr>
            </w:pPr>
          </w:p>
        </w:tc>
      </w:tr>
    </w:tbl>
    <w:p w14:paraId="4A7F1CD9" w14:textId="77777777" w:rsidR="00044F1D" w:rsidRPr="00744B82" w:rsidRDefault="00044F1D">
      <w:pPr>
        <w:spacing w:after="0"/>
        <w:rPr>
          <w:lang w:val="es-ES_tradnl"/>
        </w:rPr>
      </w:pPr>
    </w:p>
    <w:p w14:paraId="098292C4" w14:textId="77777777" w:rsidR="00044F1D" w:rsidRPr="00744B82" w:rsidRDefault="00044F1D">
      <w:pPr>
        <w:rPr>
          <w:lang w:val="es-ES_tradnl"/>
        </w:rPr>
      </w:pPr>
    </w:p>
    <w:p w14:paraId="71452C30" w14:textId="77777777" w:rsidR="00044F1D" w:rsidRPr="00744B82" w:rsidRDefault="00044F1D">
      <w:pPr>
        <w:spacing w:after="0"/>
        <w:rPr>
          <w:lang w:val="es-ES_tradnl"/>
        </w:rPr>
      </w:pPr>
    </w:p>
    <w:sectPr w:rsidR="00044F1D" w:rsidRPr="00744B82">
      <w:headerReference w:type="default" r:id="rId8"/>
      <w:footerReference w:type="default" r:id="rId9"/>
      <w:pgSz w:w="11906" w:h="16838"/>
      <w:pgMar w:top="993"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0E8A0" w14:textId="77777777" w:rsidR="00556CE6" w:rsidRDefault="00556CE6">
      <w:pPr>
        <w:spacing w:after="0" w:line="240" w:lineRule="auto"/>
      </w:pPr>
      <w:r>
        <w:separator/>
      </w:r>
    </w:p>
  </w:endnote>
  <w:endnote w:type="continuationSeparator" w:id="0">
    <w:p w14:paraId="0B3AE8BF" w14:textId="77777777" w:rsidR="00556CE6" w:rsidRDefault="00556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A88E8F21-B799-427F-806F-CC0FA1640568}"/>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85C46D14-98A1-4EA7-846B-80FBDE974070}"/>
    <w:embedBold r:id="rId3" w:fontKey="{4AFD52EA-4502-40D3-AF53-FDC45D619962}"/>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8706FD0C-6CD5-4596-B8CC-57AAFC2706D0}"/>
    <w:embedItalic r:id="rId5" w:fontKey="{031CF681-8137-4F3F-8B80-BC1325427C2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0B55DC74-EB87-4118-8F69-7E505696FA2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B4965" w14:textId="05D5D38A" w:rsidR="00744B82" w:rsidRDefault="00744B82">
    <w:pPr>
      <w:pStyle w:val="Footer"/>
    </w:pPr>
    <w:r w:rsidRPr="00744B82">
      <w:t>7.3.FSC-CLR-Training_Case-Scenarios_Discrimination_V1-0_ ES</w:t>
    </w:r>
  </w:p>
  <w:p w14:paraId="5593C774" w14:textId="77777777" w:rsidR="00044F1D" w:rsidRDefault="00044F1D">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9E334" w14:textId="77777777" w:rsidR="00556CE6" w:rsidRDefault="00556CE6">
      <w:pPr>
        <w:spacing w:after="0" w:line="240" w:lineRule="auto"/>
      </w:pPr>
      <w:r>
        <w:separator/>
      </w:r>
    </w:p>
  </w:footnote>
  <w:footnote w:type="continuationSeparator" w:id="0">
    <w:p w14:paraId="678CBD8D" w14:textId="77777777" w:rsidR="00556CE6" w:rsidRDefault="00556C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578E0" w14:textId="77777777" w:rsidR="00044F1D" w:rsidRDefault="00044F1D">
    <w:pPr>
      <w:widowControl w:val="0"/>
      <w:pBdr>
        <w:top w:val="nil"/>
        <w:left w:val="nil"/>
        <w:bottom w:val="nil"/>
        <w:right w:val="nil"/>
        <w:between w:val="nil"/>
      </w:pBdr>
      <w:spacing w:after="0" w:line="276" w:lineRule="auto"/>
    </w:pPr>
  </w:p>
  <w:tbl>
    <w:tblPr>
      <w:tblStyle w:val="a5"/>
      <w:tblW w:w="9060" w:type="dxa"/>
      <w:tblLayout w:type="fixed"/>
      <w:tblLook w:val="0600" w:firstRow="0" w:lastRow="0" w:firstColumn="0" w:lastColumn="0" w:noHBand="1" w:noVBand="1"/>
    </w:tblPr>
    <w:tblGrid>
      <w:gridCol w:w="3020"/>
      <w:gridCol w:w="3020"/>
      <w:gridCol w:w="3020"/>
    </w:tblGrid>
    <w:tr w:rsidR="00044F1D" w14:paraId="18620C11" w14:textId="77777777">
      <w:trPr>
        <w:trHeight w:val="300"/>
      </w:trPr>
      <w:tc>
        <w:tcPr>
          <w:tcW w:w="3020" w:type="dxa"/>
        </w:tcPr>
        <w:p w14:paraId="41EB2FA6" w14:textId="77777777" w:rsidR="00044F1D" w:rsidRDefault="00044F1D">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768FB9F6" w14:textId="77777777" w:rsidR="00044F1D" w:rsidRDefault="00044F1D">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02DDF73A" w14:textId="77777777" w:rsidR="00044F1D" w:rsidRDefault="00044F1D">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0475B12A" w14:textId="77777777" w:rsidR="00044F1D" w:rsidRDefault="00044F1D">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6B3D79"/>
    <w:multiLevelType w:val="multilevel"/>
    <w:tmpl w:val="135AA3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E5E4F34"/>
    <w:multiLevelType w:val="multilevel"/>
    <w:tmpl w:val="950218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4C11EEC"/>
    <w:multiLevelType w:val="multilevel"/>
    <w:tmpl w:val="EFDE99D2"/>
    <w:lvl w:ilvl="0">
      <w:start w:val="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7B31621"/>
    <w:multiLevelType w:val="multilevel"/>
    <w:tmpl w:val="405A4F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76054011">
    <w:abstractNumId w:val="2"/>
  </w:num>
  <w:num w:numId="2" w16cid:durableId="1778212321">
    <w:abstractNumId w:val="0"/>
  </w:num>
  <w:num w:numId="3" w16cid:durableId="1442070896">
    <w:abstractNumId w:val="3"/>
  </w:num>
  <w:num w:numId="4" w16cid:durableId="9734115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4F1D"/>
    <w:rsid w:val="000251E0"/>
    <w:rsid w:val="00044F1D"/>
    <w:rsid w:val="00556CE6"/>
    <w:rsid w:val="00744B82"/>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64EE6D"/>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0D9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B773BB"/>
    <w:pPr>
      <w:ind w:left="720"/>
      <w:contextualSpacing/>
    </w:pPr>
  </w:style>
  <w:style w:type="table" w:styleId="TableGrid">
    <w:name w:val="Table Grid"/>
    <w:basedOn w:val="TableNormal"/>
    <w:uiPriority w:val="39"/>
    <w:rsid w:val="00EC08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3C0C"/>
    <w:pPr>
      <w:spacing w:after="0" w:line="240" w:lineRule="auto"/>
    </w:pPr>
  </w:style>
  <w:style w:type="character" w:styleId="CommentReference">
    <w:name w:val="annotation reference"/>
    <w:basedOn w:val="DefaultParagraphFont"/>
    <w:uiPriority w:val="99"/>
    <w:semiHidden/>
    <w:unhideWhenUsed/>
    <w:rsid w:val="00E732C4"/>
    <w:rPr>
      <w:sz w:val="16"/>
      <w:szCs w:val="16"/>
    </w:rPr>
  </w:style>
  <w:style w:type="paragraph" w:styleId="CommentText">
    <w:name w:val="annotation text"/>
    <w:basedOn w:val="Normal"/>
    <w:link w:val="CommentTextChar"/>
    <w:uiPriority w:val="99"/>
    <w:unhideWhenUsed/>
    <w:rsid w:val="00E732C4"/>
    <w:pPr>
      <w:spacing w:line="240" w:lineRule="auto"/>
    </w:pPr>
    <w:rPr>
      <w:sz w:val="20"/>
      <w:szCs w:val="20"/>
    </w:rPr>
  </w:style>
  <w:style w:type="character" w:customStyle="1" w:styleId="CommentTextChar">
    <w:name w:val="Comment Text Char"/>
    <w:basedOn w:val="DefaultParagraphFont"/>
    <w:link w:val="CommentText"/>
    <w:uiPriority w:val="99"/>
    <w:rsid w:val="00E732C4"/>
    <w:rPr>
      <w:sz w:val="20"/>
      <w:szCs w:val="20"/>
    </w:rPr>
  </w:style>
  <w:style w:type="paragraph" w:styleId="CommentSubject">
    <w:name w:val="annotation subject"/>
    <w:basedOn w:val="CommentText"/>
    <w:next w:val="CommentText"/>
    <w:link w:val="CommentSubjectChar"/>
    <w:uiPriority w:val="99"/>
    <w:semiHidden/>
    <w:unhideWhenUsed/>
    <w:rsid w:val="00E732C4"/>
    <w:rPr>
      <w:b/>
      <w:bCs/>
    </w:rPr>
  </w:style>
  <w:style w:type="character" w:customStyle="1" w:styleId="CommentSubjectChar">
    <w:name w:val="Comment Subject Char"/>
    <w:basedOn w:val="CommentTextChar"/>
    <w:link w:val="CommentSubject"/>
    <w:uiPriority w:val="99"/>
    <w:semiHidden/>
    <w:rsid w:val="00E732C4"/>
    <w:rPr>
      <w:b/>
      <w:bCs/>
      <w:sz w:val="20"/>
      <w:szCs w:val="20"/>
    </w:rPr>
  </w:style>
  <w:style w:type="paragraph" w:styleId="Header">
    <w:name w:val="header"/>
    <w:basedOn w:val="Normal"/>
    <w:uiPriority w:val="99"/>
    <w:unhideWhenUsed/>
    <w:rsid w:val="504B4B9D"/>
    <w:pPr>
      <w:tabs>
        <w:tab w:val="center" w:pos="4680"/>
        <w:tab w:val="right" w:pos="9360"/>
      </w:tabs>
      <w:spacing w:after="0" w:line="240" w:lineRule="auto"/>
    </w:pPr>
  </w:style>
  <w:style w:type="paragraph" w:styleId="Footer">
    <w:name w:val="footer"/>
    <w:basedOn w:val="Normal"/>
    <w:link w:val="FooterChar"/>
    <w:uiPriority w:val="99"/>
    <w:unhideWhenUsed/>
    <w:rsid w:val="504B4B9D"/>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744B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wwJLssWbnYmJKT2/SFj7r5Bjbw==">CgMxLjA4AGonChRzdWdnZXN0LjVjZmNjYm52MmhiaxIPSmVzc2ljYSBUb3JyaWNvaicKFHN1Z2dlc3QuZWQwYTZoNWJ1bzRyEg9KZXNzaWNhIFRvcnJpY29yITFjd2YzQXhsLUFOM3hIblBXaFE1TndXc2NLZDQ3VTE5RA==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664</Words>
  <Characters>3787</Characters>
  <Application>Microsoft Office Word</Application>
  <DocSecurity>0</DocSecurity>
  <Lines>31</Lines>
  <Paragraphs>8</Paragraphs>
  <ScaleCrop>false</ScaleCrop>
  <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2025-04-15T13:22:00Z</dcterms:created>
  <dcterms:modified xsi:type="dcterms:W3CDTF">2025-06-20T11:21:00Z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1099000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